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B0" w:rsidRDefault="00CE65B0">
      <w:pPr>
        <w:rPr>
          <w:rFonts w:ascii="方正小标宋简体" w:eastAsia="方正小标宋简体"/>
          <w:b/>
          <w:sz w:val="36"/>
          <w:szCs w:val="36"/>
        </w:rPr>
      </w:pPr>
    </w:p>
    <w:p w:rsidR="00CE65B0" w:rsidRDefault="00CE65B0">
      <w:pPr>
        <w:rPr>
          <w:rFonts w:ascii="方正小标宋简体" w:eastAsia="方正小标宋简体"/>
          <w:b/>
          <w:sz w:val="36"/>
          <w:szCs w:val="36"/>
        </w:rPr>
      </w:pPr>
    </w:p>
    <w:p w:rsidR="002B58B3" w:rsidRDefault="00151C9C" w:rsidP="00096641">
      <w:pPr>
        <w:jc w:val="center"/>
        <w:rPr>
          <w:rFonts w:ascii="仿宋_GB2312" w:eastAsia="仿宋_GB2312" w:hAnsi="仿宋_GB2312" w:cs="仿宋_GB2312"/>
          <w:b/>
          <w:bCs/>
          <w:spacing w:val="-28"/>
          <w:sz w:val="44"/>
          <w:szCs w:val="44"/>
        </w:rPr>
      </w:pPr>
      <w:r>
        <w:rPr>
          <w:rFonts w:ascii="仿宋_GB2312" w:eastAsia="仿宋_GB2312" w:hAnsi="仿宋_GB2312" w:cs="仿宋_GB2312"/>
          <w:b/>
          <w:bCs/>
          <w:spacing w:val="-28"/>
          <w:sz w:val="44"/>
          <w:szCs w:val="44"/>
        </w:rPr>
        <w:t>“</w:t>
      </w:r>
      <w:r w:rsidR="00CE65B0" w:rsidRPr="00CE65B0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>社会组织申报政府购买服务</w:t>
      </w:r>
      <w:r w:rsidR="002D4848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>资金</w:t>
      </w:r>
      <w:r w:rsidR="00CE65B0" w:rsidRPr="00CE65B0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>、</w:t>
      </w:r>
    </w:p>
    <w:p w:rsidR="00151C9C" w:rsidRDefault="00CE65B0" w:rsidP="00CE65B0">
      <w:pPr>
        <w:jc w:val="center"/>
        <w:rPr>
          <w:rFonts w:ascii="仿宋_GB2312" w:eastAsia="仿宋_GB2312" w:hAnsi="仿宋_GB2312" w:cs="仿宋_GB2312"/>
          <w:b/>
          <w:bCs/>
          <w:spacing w:val="-28"/>
          <w:sz w:val="44"/>
          <w:szCs w:val="44"/>
        </w:rPr>
      </w:pPr>
      <w:r w:rsidRPr="00CE65B0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>参与社会管理研讨会</w:t>
      </w:r>
      <w:r w:rsidR="00151C9C">
        <w:rPr>
          <w:rFonts w:ascii="仿宋_GB2312" w:eastAsia="仿宋_GB2312" w:hAnsi="仿宋_GB2312" w:cs="仿宋_GB2312"/>
          <w:b/>
          <w:bCs/>
          <w:spacing w:val="-28"/>
          <w:sz w:val="44"/>
          <w:szCs w:val="44"/>
        </w:rPr>
        <w:t>”</w:t>
      </w:r>
    </w:p>
    <w:p w:rsidR="00CE65B0" w:rsidRPr="00CE65B0" w:rsidRDefault="00CE65B0" w:rsidP="00CE65B0">
      <w:pPr>
        <w:jc w:val="center"/>
        <w:rPr>
          <w:rFonts w:ascii="仿宋_GB2312" w:eastAsia="仿宋_GB2312" w:hAnsi="仿宋_GB2312" w:cs="仿宋_GB2312"/>
          <w:b/>
          <w:bCs/>
          <w:spacing w:val="-28"/>
          <w:sz w:val="44"/>
          <w:szCs w:val="44"/>
        </w:rPr>
      </w:pPr>
      <w:r w:rsidRPr="00CE65B0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>通</w:t>
      </w:r>
      <w:r w:rsidR="00151C9C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 xml:space="preserve">   </w:t>
      </w:r>
      <w:r w:rsidRPr="00CE65B0">
        <w:rPr>
          <w:rFonts w:ascii="仿宋_GB2312" w:eastAsia="仿宋_GB2312" w:hAnsi="仿宋_GB2312" w:cs="仿宋_GB2312" w:hint="eastAsia"/>
          <w:b/>
          <w:bCs/>
          <w:spacing w:val="-28"/>
          <w:sz w:val="44"/>
          <w:szCs w:val="44"/>
        </w:rPr>
        <w:t>知</w:t>
      </w:r>
    </w:p>
    <w:p w:rsidR="00CE65B0" w:rsidRPr="00CE65B0" w:rsidRDefault="00CE65B0" w:rsidP="00CE65B0">
      <w:pPr>
        <w:rPr>
          <w:rFonts w:ascii="仿宋_GB2312" w:eastAsia="仿宋_GB2312" w:hAnsi="仿宋_GB2312" w:cs="仿宋_GB2312"/>
          <w:sz w:val="32"/>
          <w:szCs w:val="32"/>
        </w:rPr>
      </w:pPr>
    </w:p>
    <w:p w:rsidR="00CE65B0" w:rsidRPr="00096641" w:rsidRDefault="00CE65B0" w:rsidP="00CE65B0">
      <w:pPr>
        <w:rPr>
          <w:rFonts w:ascii="Times New Roman" w:eastAsia="仿宋_GB2312" w:hAnsi="Times New Roman" w:cs="仿宋_GB2312"/>
          <w:sz w:val="32"/>
          <w:szCs w:val="32"/>
        </w:rPr>
      </w:pP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各社会组织负责人：</w:t>
      </w:r>
    </w:p>
    <w:p w:rsidR="00CE65B0" w:rsidRPr="00096641" w:rsidRDefault="00CE65B0" w:rsidP="00CE65B0">
      <w:pPr>
        <w:pStyle w:val="a6"/>
        <w:spacing w:line="60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096641">
        <w:rPr>
          <w:rFonts w:ascii="Times New Roman" w:eastAsia="仿宋_GB2312" w:hAnsi="Times New Roman" w:hint="eastAsia"/>
          <w:sz w:val="32"/>
          <w:szCs w:val="32"/>
        </w:rPr>
        <w:t>为加强对外经贸领域“枢纽型”社会组织</w:t>
      </w:r>
      <w:r w:rsidR="002A7D58">
        <w:rPr>
          <w:rFonts w:ascii="Times New Roman" w:eastAsia="仿宋_GB2312" w:hAnsi="Times New Roman" w:hint="eastAsia"/>
          <w:sz w:val="32"/>
          <w:szCs w:val="32"/>
        </w:rPr>
        <w:t>购买政府服务</w:t>
      </w:r>
      <w:r w:rsidR="002B58B3">
        <w:rPr>
          <w:rFonts w:ascii="Times New Roman" w:eastAsia="仿宋_GB2312" w:hAnsi="Times New Roman" w:hint="eastAsia"/>
          <w:sz w:val="32"/>
          <w:szCs w:val="32"/>
        </w:rPr>
        <w:t>项目资金</w:t>
      </w:r>
      <w:r w:rsidRPr="00096641">
        <w:rPr>
          <w:rFonts w:ascii="Times New Roman" w:eastAsia="仿宋_GB2312" w:hAnsi="Times New Roman" w:hint="eastAsia"/>
          <w:sz w:val="32"/>
          <w:szCs w:val="32"/>
        </w:rPr>
        <w:t>申报工作的指导和帮助，共同推动政府购买社会工作服务制度建设，开创对外经贸领域“枢纽型”社会组织工作发展的新局面，北京市贸促会</w:t>
      </w:r>
      <w:r w:rsidR="002A7D58">
        <w:rPr>
          <w:rFonts w:ascii="Times New Roman" w:eastAsia="仿宋_GB2312" w:hAnsi="Times New Roman" w:hint="eastAsia"/>
          <w:sz w:val="32"/>
          <w:szCs w:val="32"/>
        </w:rPr>
        <w:t>拟于近期</w:t>
      </w:r>
      <w:r w:rsidRPr="00096641">
        <w:rPr>
          <w:rFonts w:ascii="Times New Roman" w:eastAsia="仿宋_GB2312" w:hAnsi="Times New Roman" w:hint="eastAsia"/>
          <w:sz w:val="32"/>
          <w:szCs w:val="32"/>
        </w:rPr>
        <w:t>举办</w:t>
      </w:r>
      <w:r w:rsidR="00A65DC8">
        <w:rPr>
          <w:rFonts w:ascii="Times New Roman" w:eastAsia="仿宋_GB2312" w:hAnsi="Times New Roman" w:hint="eastAsia"/>
          <w:sz w:val="32"/>
          <w:szCs w:val="32"/>
        </w:rPr>
        <w:t>“</w:t>
      </w:r>
      <w:r w:rsidR="004D6418">
        <w:rPr>
          <w:rFonts w:ascii="Times New Roman" w:eastAsia="仿宋_GB2312" w:hAnsi="Times New Roman" w:hint="eastAsia"/>
          <w:sz w:val="32"/>
          <w:szCs w:val="32"/>
        </w:rPr>
        <w:t>社会组织申报政府购买服务</w:t>
      </w:r>
      <w:r w:rsidR="002B58B3">
        <w:rPr>
          <w:rFonts w:ascii="Times New Roman" w:eastAsia="仿宋_GB2312" w:hAnsi="Times New Roman" w:hint="eastAsia"/>
          <w:sz w:val="32"/>
          <w:szCs w:val="32"/>
        </w:rPr>
        <w:t>资金</w:t>
      </w:r>
      <w:r w:rsidR="004D6418">
        <w:rPr>
          <w:rFonts w:ascii="Times New Roman" w:eastAsia="仿宋_GB2312" w:hAnsi="Times New Roman" w:hint="eastAsia"/>
          <w:sz w:val="32"/>
          <w:szCs w:val="32"/>
        </w:rPr>
        <w:t>主题研讨会</w:t>
      </w:r>
      <w:r w:rsidR="00A65DC8">
        <w:rPr>
          <w:rFonts w:ascii="Times New Roman" w:eastAsia="仿宋_GB2312" w:hAnsi="Times New Roman" w:hint="eastAsia"/>
          <w:sz w:val="32"/>
          <w:szCs w:val="32"/>
        </w:rPr>
        <w:t>”</w:t>
      </w:r>
      <w:r w:rsidR="004D6418">
        <w:rPr>
          <w:rFonts w:ascii="Times New Roman" w:eastAsia="仿宋_GB2312" w:hAnsi="Times New Roman" w:hint="eastAsia"/>
          <w:sz w:val="32"/>
          <w:szCs w:val="32"/>
        </w:rPr>
        <w:t>。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具体安排如下：</w:t>
      </w:r>
    </w:p>
    <w:p w:rsidR="00CE65B0" w:rsidRPr="00096641" w:rsidRDefault="00CE65B0" w:rsidP="00CE65B0">
      <w:pPr>
        <w:rPr>
          <w:rFonts w:ascii="Times New Roman" w:eastAsia="仿宋_GB2312" w:hAnsi="Times New Roman" w:cs="仿宋_GB2312"/>
          <w:sz w:val="32"/>
          <w:szCs w:val="32"/>
        </w:rPr>
      </w:pP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一、时间：</w:t>
      </w:r>
      <w:r w:rsidRPr="00096641">
        <w:rPr>
          <w:rFonts w:ascii="Times New Roman" w:eastAsia="仿宋_GB2312" w:hAnsi="Times New Roman" w:cs="仿宋_GB2312" w:hint="eastAsia"/>
          <w:sz w:val="32"/>
          <w:szCs w:val="32"/>
        </w:rPr>
        <w:t>2014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Pr="00096641"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月</w:t>
      </w:r>
      <w:r w:rsidRPr="00096641">
        <w:rPr>
          <w:rFonts w:ascii="Times New Roman" w:eastAsia="仿宋_GB2312" w:hAnsi="Times New Roman" w:cs="仿宋_GB2312" w:hint="eastAsia"/>
          <w:sz w:val="32"/>
          <w:szCs w:val="32"/>
        </w:rPr>
        <w:t>24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日</w:t>
      </w:r>
      <w:r w:rsidR="002A7D58">
        <w:rPr>
          <w:rFonts w:ascii="Times New Roman" w:eastAsia="仿宋_GB2312" w:hAnsi="仿宋_GB2312" w:cs="仿宋_GB2312" w:hint="eastAsia"/>
          <w:sz w:val="32"/>
          <w:szCs w:val="32"/>
        </w:rPr>
        <w:t>上午</w:t>
      </w:r>
      <w:r w:rsidR="00096641">
        <w:rPr>
          <w:rFonts w:ascii="Times New Roman" w:eastAsia="仿宋_GB2312" w:hAnsi="仿宋_GB2312" w:cs="仿宋_GB2312" w:hint="eastAsia"/>
          <w:sz w:val="32"/>
          <w:szCs w:val="32"/>
        </w:rPr>
        <w:t>9:30</w:t>
      </w:r>
      <w:r w:rsidR="00C82EA6">
        <w:rPr>
          <w:rFonts w:ascii="Times New Roman" w:eastAsia="仿宋_GB2312" w:hAnsi="仿宋_GB2312" w:cs="仿宋_GB2312" w:hint="eastAsia"/>
          <w:sz w:val="32"/>
          <w:szCs w:val="32"/>
        </w:rPr>
        <w:t>至</w:t>
      </w:r>
      <w:r w:rsidR="00C82EA6">
        <w:rPr>
          <w:rFonts w:ascii="Times New Roman" w:eastAsia="仿宋_GB2312" w:hAnsi="仿宋_GB2312" w:cs="仿宋_GB2312" w:hint="eastAsia"/>
          <w:sz w:val="32"/>
          <w:szCs w:val="32"/>
        </w:rPr>
        <w:t>11:30</w:t>
      </w:r>
      <w:r w:rsidR="00C82EA6">
        <w:rPr>
          <w:rFonts w:ascii="Times New Roman" w:eastAsia="仿宋_GB2312" w:hAnsi="仿宋_GB2312" w:cs="仿宋_GB2312" w:hint="eastAsia"/>
          <w:sz w:val="32"/>
          <w:szCs w:val="32"/>
        </w:rPr>
        <w:t>。</w:t>
      </w:r>
    </w:p>
    <w:p w:rsidR="00CE65B0" w:rsidRPr="00096641" w:rsidRDefault="00CE65B0" w:rsidP="00CE65B0">
      <w:pPr>
        <w:rPr>
          <w:rFonts w:ascii="Times New Roman" w:eastAsia="仿宋_GB2312" w:hAnsi="Times New Roman" w:cs="仿宋_GB2312"/>
          <w:sz w:val="32"/>
          <w:szCs w:val="32"/>
        </w:rPr>
      </w:pP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二、地点：天泰宾馆</w:t>
      </w:r>
      <w:r w:rsidR="00FA6DAA">
        <w:rPr>
          <w:rFonts w:ascii="Times New Roman" w:eastAsia="仿宋_GB2312" w:hAnsi="仿宋_GB2312" w:cs="仿宋_GB2312" w:hint="eastAsia"/>
          <w:sz w:val="32"/>
          <w:szCs w:val="32"/>
        </w:rPr>
        <w:t>五层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（南礼士路头条</w:t>
      </w:r>
      <w:r w:rsidRPr="00096641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号。地铁</w:t>
      </w:r>
      <w:r w:rsidRPr="00096641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号线南礼士路站出</w:t>
      </w:r>
      <w:r w:rsidRPr="00096641">
        <w:rPr>
          <w:rFonts w:ascii="Times New Roman" w:eastAsia="仿宋_GB2312" w:hAnsi="Times New Roman" w:cs="仿宋_GB2312" w:hint="eastAsia"/>
          <w:sz w:val="32"/>
          <w:szCs w:val="32"/>
        </w:rPr>
        <w:t>A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口往北走第一个路口左转直走</w:t>
      </w:r>
      <w:r w:rsidR="002A7D58">
        <w:rPr>
          <w:rFonts w:ascii="Times New Roman" w:eastAsia="仿宋_GB2312" w:hAnsi="仿宋_GB2312" w:cs="仿宋_GB2312" w:hint="eastAsia"/>
          <w:sz w:val="32"/>
          <w:szCs w:val="32"/>
        </w:rPr>
        <w:t>100</w:t>
      </w:r>
      <w:r w:rsidR="002A7D58">
        <w:rPr>
          <w:rFonts w:ascii="Times New Roman" w:eastAsia="仿宋_GB2312" w:hAnsi="仿宋_GB2312" w:cs="仿宋_GB2312" w:hint="eastAsia"/>
          <w:sz w:val="32"/>
          <w:szCs w:val="32"/>
        </w:rPr>
        <w:t>米路北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。电话</w:t>
      </w:r>
      <w:r w:rsidRPr="00096641">
        <w:rPr>
          <w:rFonts w:ascii="Times New Roman" w:eastAsia="仿宋_GB2312" w:hAnsi="Times New Roman" w:hint="eastAsia"/>
          <w:sz w:val="32"/>
          <w:szCs w:val="32"/>
        </w:rPr>
        <w:t>5673 9999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详见附图</w:t>
      </w:r>
      <w:r w:rsidR="00CE4D24">
        <w:rPr>
          <w:rFonts w:ascii="Times New Roman" w:eastAsia="仿宋_GB2312" w:hAnsi="仿宋_GB2312" w:cs="仿宋_GB2312" w:hint="eastAsia"/>
          <w:sz w:val="32"/>
          <w:szCs w:val="32"/>
        </w:rPr>
        <w:t>。开车可以将车停放在宾馆地下车库</w:t>
      </w: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）。</w:t>
      </w:r>
    </w:p>
    <w:p w:rsidR="00CE65B0" w:rsidRPr="00096641" w:rsidRDefault="00CE65B0" w:rsidP="00CE65B0">
      <w:pPr>
        <w:rPr>
          <w:rFonts w:ascii="Times New Roman" w:eastAsia="仿宋_GB2312" w:hAnsi="Times New Roman" w:cs="仿宋_GB2312"/>
          <w:sz w:val="32"/>
          <w:szCs w:val="32"/>
        </w:rPr>
      </w:pPr>
      <w:r w:rsidRPr="00096641">
        <w:rPr>
          <w:rFonts w:ascii="Times New Roman" w:eastAsia="仿宋_GB2312" w:hAnsi="仿宋_GB2312" w:cs="仿宋_GB2312" w:hint="eastAsia"/>
          <w:sz w:val="32"/>
          <w:szCs w:val="32"/>
        </w:rPr>
        <w:t>三、参会单位范围</w:t>
      </w:r>
    </w:p>
    <w:p w:rsidR="00CE65B0" w:rsidRPr="00096641" w:rsidRDefault="003B6B74" w:rsidP="00151C9C">
      <w:pPr>
        <w:ind w:leftChars="142" w:left="298"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北京市</w:t>
      </w:r>
      <w:proofErr w:type="gramStart"/>
      <w:r w:rsidR="00151C9C">
        <w:rPr>
          <w:rFonts w:ascii="Times New Roman" w:eastAsia="仿宋_GB2312" w:hAnsi="仿宋_GB2312" w:cs="仿宋_GB2312" w:hint="eastAsia"/>
          <w:sz w:val="32"/>
          <w:szCs w:val="32"/>
        </w:rPr>
        <w:t>相关商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协会</w:t>
      </w:r>
      <w:r w:rsidR="00151C9C">
        <w:rPr>
          <w:rFonts w:ascii="Times New Roman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仿宋_GB2312" w:cs="仿宋_GB2312" w:hint="eastAsia"/>
          <w:sz w:val="32"/>
          <w:szCs w:val="32"/>
        </w:rPr>
        <w:t>各省、地市级企业商会</w:t>
      </w:r>
      <w:r w:rsidR="00CE65B0" w:rsidRPr="00096641">
        <w:rPr>
          <w:rFonts w:ascii="Times New Roman" w:eastAsia="仿宋_GB2312" w:hAnsi="仿宋_GB2312" w:cs="仿宋_GB2312" w:hint="eastAsia"/>
          <w:sz w:val="32"/>
          <w:szCs w:val="32"/>
        </w:rPr>
        <w:t>代表参加</w:t>
      </w:r>
      <w:r w:rsidR="00096641" w:rsidRPr="00096641">
        <w:rPr>
          <w:rFonts w:ascii="Times New Roman" w:eastAsia="仿宋_GB2312" w:hAnsi="仿宋_GB2312" w:cs="仿宋_GB2312" w:hint="eastAsia"/>
          <w:sz w:val="32"/>
          <w:szCs w:val="32"/>
        </w:rPr>
        <w:t>。</w:t>
      </w:r>
    </w:p>
    <w:p w:rsidR="00CE65B0" w:rsidRPr="00096641" w:rsidRDefault="00CE65B0" w:rsidP="00CE65B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四、培训会内容及主讲人</w:t>
      </w:r>
    </w:p>
    <w:p w:rsidR="00CE65B0" w:rsidRPr="00096641" w:rsidRDefault="00096641" w:rsidP="00096641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hint="eastAsia"/>
          <w:sz w:val="32"/>
          <w:szCs w:val="32"/>
        </w:rPr>
        <w:t>北京市委社会工委</w:t>
      </w:r>
      <w:r w:rsidR="00151C9C">
        <w:rPr>
          <w:rFonts w:ascii="Times New Roman" w:eastAsia="仿宋_GB2312" w:hAnsi="Times New Roman" w:hint="eastAsia"/>
          <w:sz w:val="32"/>
          <w:szCs w:val="32"/>
        </w:rPr>
        <w:t>综合处唐志华处长</w:t>
      </w:r>
      <w:r w:rsidRPr="00096641">
        <w:rPr>
          <w:rFonts w:ascii="Times New Roman" w:eastAsia="仿宋_GB2312" w:hAnsi="Times New Roman" w:hint="eastAsia"/>
          <w:sz w:val="32"/>
          <w:szCs w:val="32"/>
        </w:rPr>
        <w:t>介绍申报政府购买服务</w:t>
      </w:r>
      <w:r w:rsidR="002B58B3">
        <w:rPr>
          <w:rFonts w:ascii="Times New Roman" w:eastAsia="仿宋_GB2312" w:hAnsi="Times New Roman" w:hint="eastAsia"/>
          <w:sz w:val="32"/>
          <w:szCs w:val="32"/>
        </w:rPr>
        <w:t>项目资金</w:t>
      </w:r>
      <w:r w:rsidRPr="00096641">
        <w:rPr>
          <w:rFonts w:ascii="Times New Roman" w:eastAsia="仿宋_GB2312" w:hAnsi="Times New Roman" w:hint="eastAsia"/>
          <w:sz w:val="32"/>
          <w:szCs w:val="32"/>
        </w:rPr>
        <w:t>相关政策。</w:t>
      </w:r>
    </w:p>
    <w:p w:rsidR="00CE65B0" w:rsidRPr="00096641" w:rsidRDefault="00CE65B0" w:rsidP="00CE65B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五、议程</w:t>
      </w:r>
    </w:p>
    <w:p w:rsidR="00096641" w:rsidRPr="00096641" w:rsidRDefault="00096641" w:rsidP="00151C9C">
      <w:pPr>
        <w:pStyle w:val="a6"/>
        <w:ind w:firstLine="640"/>
        <w:rPr>
          <w:rFonts w:ascii="Times New Roman" w:eastAsia="仿宋_GB2312" w:hAnsi="Times New Roman"/>
          <w:sz w:val="32"/>
          <w:szCs w:val="32"/>
        </w:rPr>
      </w:pPr>
      <w:r w:rsidRPr="00096641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一）</w:t>
      </w:r>
      <w:r w:rsidRPr="00096641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 w:rsidRPr="00096641"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6641">
        <w:rPr>
          <w:rFonts w:ascii="Times New Roman" w:eastAsia="仿宋_GB2312" w:hAnsi="Times New Roman" w:hint="eastAsia"/>
          <w:sz w:val="32"/>
          <w:szCs w:val="32"/>
        </w:rPr>
        <w:t>北京市委社会工委</w:t>
      </w:r>
      <w:r w:rsidR="00151C9C">
        <w:rPr>
          <w:rFonts w:ascii="Times New Roman" w:eastAsia="仿宋_GB2312" w:hAnsi="Times New Roman" w:hint="eastAsia"/>
          <w:sz w:val="32"/>
          <w:szCs w:val="32"/>
        </w:rPr>
        <w:t>综合处唐志华处长</w:t>
      </w:r>
      <w:r w:rsidRPr="00096641">
        <w:rPr>
          <w:rFonts w:ascii="Times New Roman" w:eastAsia="仿宋_GB2312" w:hAnsi="Times New Roman" w:hint="eastAsia"/>
          <w:sz w:val="32"/>
          <w:szCs w:val="32"/>
        </w:rPr>
        <w:t>介绍申报政府购买服务</w:t>
      </w:r>
      <w:r w:rsidR="002B58B3">
        <w:rPr>
          <w:rFonts w:ascii="Times New Roman" w:eastAsia="仿宋_GB2312" w:hAnsi="Times New Roman" w:hint="eastAsia"/>
          <w:sz w:val="32"/>
          <w:szCs w:val="32"/>
        </w:rPr>
        <w:t>项目资金</w:t>
      </w:r>
      <w:r w:rsidR="00A65DC8">
        <w:rPr>
          <w:rFonts w:ascii="Times New Roman" w:eastAsia="仿宋_GB2312" w:hAnsi="Times New Roman" w:hint="eastAsia"/>
          <w:sz w:val="32"/>
          <w:szCs w:val="32"/>
        </w:rPr>
        <w:t>相关政策</w:t>
      </w:r>
    </w:p>
    <w:p w:rsidR="000F17B7" w:rsidRDefault="00096641" w:rsidP="00096641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96641">
        <w:rPr>
          <w:rFonts w:ascii="Times New Roman" w:eastAsia="仿宋_GB2312" w:hAnsi="Times New Roman" w:hint="eastAsia"/>
          <w:sz w:val="32"/>
          <w:szCs w:val="32"/>
        </w:rPr>
        <w:t>（</w:t>
      </w:r>
      <w:r w:rsidR="00151C9C"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096641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 w:rsidRPr="00096641">
        <w:rPr>
          <w:rFonts w:ascii="Times New Roman" w:eastAsia="仿宋_GB2312" w:hAnsi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96641">
        <w:rPr>
          <w:rFonts w:ascii="Times New Roman" w:eastAsia="仿宋_GB2312" w:hAnsi="Times New Roman" w:hint="eastAsia"/>
          <w:sz w:val="32"/>
          <w:szCs w:val="32"/>
        </w:rPr>
        <w:t>互动环节</w:t>
      </w:r>
    </w:p>
    <w:p w:rsidR="00096641" w:rsidRPr="00096641" w:rsidRDefault="00151C9C" w:rsidP="00096641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</w:t>
      </w:r>
      <w:r w:rsidR="000F17B7">
        <w:rPr>
          <w:rFonts w:ascii="Times New Roman" w:eastAsia="仿宋_GB2312" w:hAnsi="Times New Roman" w:hint="eastAsia"/>
          <w:sz w:val="32"/>
          <w:szCs w:val="32"/>
        </w:rPr>
        <w:t>）</w:t>
      </w:r>
      <w:r w:rsidR="000F17B7">
        <w:rPr>
          <w:rFonts w:ascii="Times New Roman" w:eastAsia="仿宋_GB2312" w:hAnsi="Times New Roman" w:hint="eastAsia"/>
          <w:sz w:val="32"/>
          <w:szCs w:val="32"/>
        </w:rPr>
        <w:t>11:30</w:t>
      </w:r>
      <w:r w:rsidR="000F17B7">
        <w:rPr>
          <w:rFonts w:ascii="Times New Roman" w:eastAsia="仿宋_GB2312" w:hAnsi="Times New Roman" w:hint="eastAsia"/>
          <w:sz w:val="32"/>
          <w:szCs w:val="32"/>
        </w:rPr>
        <w:t>自助餐</w:t>
      </w:r>
    </w:p>
    <w:p w:rsidR="00CE65B0" w:rsidRPr="00096641" w:rsidRDefault="00CE65B0" w:rsidP="0009664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六、其他事项</w:t>
      </w:r>
    </w:p>
    <w:p w:rsidR="00CE65B0" w:rsidRPr="00096641" w:rsidRDefault="00CE65B0" w:rsidP="00CE65B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11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1</w:t>
      </w:r>
      <w:r w:rsidR="00096641" w:rsidRPr="0009664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日下午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17:00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前将参会回执反馈到北京市贸促会</w:t>
      </w:r>
      <w:r w:rsidR="00151C9C">
        <w:rPr>
          <w:rFonts w:ascii="Times New Roman" w:eastAsia="仿宋_GB2312" w:hAnsi="Times New Roman" w:cs="Times New Roman" w:hint="eastAsia"/>
          <w:sz w:val="32"/>
          <w:szCs w:val="32"/>
        </w:rPr>
        <w:t>会务部</w:t>
      </w:r>
      <w:r w:rsidR="00151C9C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2B58B3">
        <w:rPr>
          <w:rFonts w:ascii="Times New Roman" w:eastAsia="仿宋_GB2312" w:hAnsi="Times New Roman" w:cs="Times New Roman" w:hint="eastAsia"/>
          <w:sz w:val="32"/>
          <w:szCs w:val="32"/>
        </w:rPr>
        <w:t>社会工作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部，请报名从速。</w:t>
      </w:r>
    </w:p>
    <w:p w:rsidR="00CE65B0" w:rsidRPr="00096641" w:rsidRDefault="00CE65B0" w:rsidP="00CE65B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张先生</w:t>
      </w:r>
    </w:p>
    <w:p w:rsidR="00CE65B0" w:rsidRPr="00096641" w:rsidRDefault="00CE65B0" w:rsidP="00CE65B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电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话：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88070452</w:t>
      </w:r>
    </w:p>
    <w:p w:rsidR="00CE65B0" w:rsidRPr="00096641" w:rsidRDefault="00CE65B0" w:rsidP="00CE65B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传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真：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096641" w:rsidRPr="00096641">
        <w:rPr>
          <w:rFonts w:ascii="Times New Roman" w:eastAsia="仿宋_GB2312" w:hAnsi="Times New Roman" w:cs="Times New Roman" w:hint="eastAsia"/>
          <w:sz w:val="32"/>
          <w:szCs w:val="32"/>
        </w:rPr>
        <w:t>88070462</w:t>
      </w:r>
    </w:p>
    <w:p w:rsidR="00CE65B0" w:rsidRPr="00096641" w:rsidRDefault="00CE65B0" w:rsidP="00CE65B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邮</w:t>
      </w:r>
      <w:proofErr w:type="gramEnd"/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箱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:   </w:t>
      </w:r>
      <w:r w:rsidR="00096641">
        <w:rPr>
          <w:rFonts w:ascii="Times New Roman" w:eastAsia="仿宋_GB2312" w:hAnsi="Times New Roman" w:cs="Times New Roman" w:hint="eastAsia"/>
          <w:sz w:val="32"/>
          <w:szCs w:val="32"/>
        </w:rPr>
        <w:t>ccpitbj412</w:t>
      </w:r>
      <w:r w:rsidRPr="00096641">
        <w:rPr>
          <w:rFonts w:ascii="Times New Roman" w:eastAsia="仿宋_GB2312" w:hAnsi="Times New Roman" w:cs="Times New Roman"/>
          <w:sz w:val="32"/>
          <w:szCs w:val="32"/>
        </w:rPr>
        <w:t xml:space="preserve">@163.com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CE65B0" w:rsidRPr="00096641" w:rsidRDefault="00CE65B0" w:rsidP="00CE65B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E65B0" w:rsidRPr="00096641" w:rsidRDefault="00CE65B0" w:rsidP="00CE65B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2014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96641" w:rsidRPr="0009664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FA42B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A42B4" w:rsidRDefault="002D4848" w:rsidP="00FA42B4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参会回执表（请字迹清晰）</w:t>
      </w:r>
    </w:p>
    <w:p w:rsidR="002D4848" w:rsidRPr="00096641" w:rsidRDefault="002D4848" w:rsidP="00FA42B4">
      <w:pPr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tbl>
      <w:tblPr>
        <w:tblW w:w="9564" w:type="dxa"/>
        <w:jc w:val="center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931"/>
        <w:gridCol w:w="2268"/>
        <w:gridCol w:w="2839"/>
      </w:tblGrid>
      <w:tr w:rsidR="002D4848" w:rsidRPr="00096641" w:rsidTr="0083247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邮箱</w:t>
            </w:r>
          </w:p>
        </w:tc>
      </w:tr>
      <w:tr w:rsidR="002D4848" w:rsidRPr="00096641" w:rsidTr="0083247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D4848" w:rsidRPr="00096641" w:rsidTr="0083247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D4848" w:rsidRPr="00096641" w:rsidTr="0083247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D4848" w:rsidRPr="00096641" w:rsidTr="0083247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D4848" w:rsidRPr="00096641" w:rsidTr="0083247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D4848" w:rsidRPr="00096641" w:rsidTr="00832472">
        <w:trPr>
          <w:trHeight w:val="27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848" w:rsidRPr="00096641" w:rsidRDefault="002D4848" w:rsidP="00665A6D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22EA3" w:rsidRDefault="00522EA3" w:rsidP="00CE65B0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CE65B0" w:rsidRPr="00096641" w:rsidRDefault="00CE65B0" w:rsidP="00CE65B0">
      <w:pPr>
        <w:rPr>
          <w:rFonts w:ascii="Times New Roman" w:eastAsia="仿宋_GB2312" w:hAnsi="Times New Roman" w:cs="Times New Roman"/>
          <w:sz w:val="32"/>
          <w:szCs w:val="32"/>
        </w:rPr>
      </w:pPr>
      <w:r w:rsidRPr="0009664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附图：图中红色终点站即为天泰宾馆。</w:t>
      </w:r>
    </w:p>
    <w:p w:rsidR="00CE65B0" w:rsidRPr="00096641" w:rsidRDefault="00CE65B0" w:rsidP="00CE65B0">
      <w:pPr>
        <w:rPr>
          <w:rFonts w:ascii="Times New Roman" w:eastAsia="仿宋_GB2312" w:hAnsi="Times New Roman"/>
          <w:sz w:val="32"/>
          <w:szCs w:val="32"/>
        </w:rPr>
      </w:pPr>
    </w:p>
    <w:p w:rsidR="00CE65B0" w:rsidRPr="00096641" w:rsidRDefault="00096641" w:rsidP="00CE65B0">
      <w:pPr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096641">
        <w:rPr>
          <w:rFonts w:ascii="Times New Roman" w:eastAsia="仿宋_GB2312" w:hAnsi="Times New Roman" w:cs="仿宋_GB2312"/>
          <w:noProof/>
          <w:sz w:val="32"/>
          <w:szCs w:val="32"/>
        </w:rPr>
        <w:drawing>
          <wp:inline distT="0" distB="0" distL="0" distR="0">
            <wp:extent cx="5181600" cy="5219700"/>
            <wp:effectExtent l="19050" t="0" r="0" b="0"/>
            <wp:docPr id="1" name="图片 1" descr="天泰地址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天泰地址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5B0" w:rsidRPr="00096641" w:rsidSect="00E4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CA" w:rsidRDefault="002938CA" w:rsidP="00CE65B0">
      <w:r>
        <w:separator/>
      </w:r>
    </w:p>
  </w:endnote>
  <w:endnote w:type="continuationSeparator" w:id="0">
    <w:p w:rsidR="002938CA" w:rsidRDefault="002938CA" w:rsidP="00CE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CA" w:rsidRDefault="002938CA" w:rsidP="00CE65B0">
      <w:r>
        <w:separator/>
      </w:r>
    </w:p>
  </w:footnote>
  <w:footnote w:type="continuationSeparator" w:id="0">
    <w:p w:rsidR="002938CA" w:rsidRDefault="002938CA" w:rsidP="00CE6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5FC4"/>
    <w:multiLevelType w:val="hybridMultilevel"/>
    <w:tmpl w:val="B80676D2"/>
    <w:lvl w:ilvl="0" w:tplc="CF14CE38">
      <w:start w:val="1"/>
      <w:numFmt w:val="decimal"/>
      <w:lvlText w:val="%1、"/>
      <w:lvlJc w:val="left"/>
      <w:pPr>
        <w:ind w:left="12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9" w:hanging="420"/>
      </w:pPr>
    </w:lvl>
    <w:lvl w:ilvl="2" w:tplc="0409001B" w:tentative="1">
      <w:start w:val="1"/>
      <w:numFmt w:val="lowerRoman"/>
      <w:lvlText w:val="%3."/>
      <w:lvlJc w:val="righ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9" w:tentative="1">
      <w:start w:val="1"/>
      <w:numFmt w:val="lowerLetter"/>
      <w:lvlText w:val="%5)"/>
      <w:lvlJc w:val="left"/>
      <w:pPr>
        <w:ind w:left="2679" w:hanging="420"/>
      </w:pPr>
    </w:lvl>
    <w:lvl w:ilvl="5" w:tplc="0409001B" w:tentative="1">
      <w:start w:val="1"/>
      <w:numFmt w:val="lowerRoman"/>
      <w:lvlText w:val="%6."/>
      <w:lvlJc w:val="righ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9" w:tentative="1">
      <w:start w:val="1"/>
      <w:numFmt w:val="lowerLetter"/>
      <w:lvlText w:val="%8)"/>
      <w:lvlJc w:val="left"/>
      <w:pPr>
        <w:ind w:left="3939" w:hanging="420"/>
      </w:pPr>
    </w:lvl>
    <w:lvl w:ilvl="8" w:tplc="0409001B" w:tentative="1">
      <w:start w:val="1"/>
      <w:numFmt w:val="lowerRoman"/>
      <w:lvlText w:val="%9."/>
      <w:lvlJc w:val="right"/>
      <w:pPr>
        <w:ind w:left="435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B0"/>
    <w:rsid w:val="00010D2E"/>
    <w:rsid w:val="00096641"/>
    <w:rsid w:val="000F17B7"/>
    <w:rsid w:val="00151C9C"/>
    <w:rsid w:val="001E2925"/>
    <w:rsid w:val="00280617"/>
    <w:rsid w:val="002938CA"/>
    <w:rsid w:val="002A7D58"/>
    <w:rsid w:val="002B58B3"/>
    <w:rsid w:val="002D4848"/>
    <w:rsid w:val="003B6B74"/>
    <w:rsid w:val="004D6418"/>
    <w:rsid w:val="00522EA3"/>
    <w:rsid w:val="005C0706"/>
    <w:rsid w:val="00701D39"/>
    <w:rsid w:val="00832472"/>
    <w:rsid w:val="008876AA"/>
    <w:rsid w:val="009078D6"/>
    <w:rsid w:val="00A5101A"/>
    <w:rsid w:val="00A65DC8"/>
    <w:rsid w:val="00AB12FE"/>
    <w:rsid w:val="00AC2B66"/>
    <w:rsid w:val="00B4743A"/>
    <w:rsid w:val="00C82EA6"/>
    <w:rsid w:val="00CE4D24"/>
    <w:rsid w:val="00CE65B0"/>
    <w:rsid w:val="00D31E31"/>
    <w:rsid w:val="00D7702F"/>
    <w:rsid w:val="00E4430E"/>
    <w:rsid w:val="00FA42B4"/>
    <w:rsid w:val="00FA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5B0"/>
    <w:rPr>
      <w:sz w:val="18"/>
      <w:szCs w:val="18"/>
    </w:rPr>
  </w:style>
  <w:style w:type="character" w:styleId="a5">
    <w:name w:val="Strong"/>
    <w:basedOn w:val="a0"/>
    <w:qFormat/>
    <w:rsid w:val="00CE65B0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CE65B0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0966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6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108</Words>
  <Characters>622</Characters>
  <Application>Microsoft Office Word</Application>
  <DocSecurity>0</DocSecurity>
  <Lines>5</Lines>
  <Paragraphs>1</Paragraphs>
  <ScaleCrop>false</ScaleCrop>
  <Company>CCPITBJ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shuniu</dc:creator>
  <cp:keywords/>
  <dc:description/>
  <cp:lastModifiedBy>shuniu</cp:lastModifiedBy>
  <cp:revision>15</cp:revision>
  <dcterms:created xsi:type="dcterms:W3CDTF">2014-11-15T01:53:00Z</dcterms:created>
  <dcterms:modified xsi:type="dcterms:W3CDTF">2014-11-15T08:12:00Z</dcterms:modified>
</cp:coreProperties>
</file>